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254C" w:rsidRDefault="00D3254C">
      <w:pPr>
        <w:pStyle w:val="Corpsdetexte"/>
        <w:rPr>
          <w:rFonts w:ascii="Times New Roman"/>
          <w:sz w:val="20"/>
        </w:rPr>
      </w:pPr>
    </w:p>
    <w:p w:rsidR="00D3254C" w:rsidRDefault="005119CB">
      <w:pPr>
        <w:spacing w:before="218"/>
        <w:ind w:left="193"/>
        <w:rPr>
          <w:sz w:val="24"/>
        </w:rPr>
      </w:pPr>
      <w:r>
        <w:rPr>
          <w:color w:val="595959"/>
          <w:sz w:val="24"/>
        </w:rPr>
        <w:t>ELABORAÇÃO DE LEIS E POLÍTICAS SOBRE DESLOCAÇÕES INTERNAS</w:t>
      </w:r>
    </w:p>
    <w:p w:rsidR="00D3254C" w:rsidRDefault="00D3254C">
      <w:pPr>
        <w:pStyle w:val="Corpsdetexte"/>
        <w:rPr>
          <w:sz w:val="28"/>
        </w:rPr>
      </w:pPr>
    </w:p>
    <w:p w:rsidR="00D3254C" w:rsidRDefault="00D3254C">
      <w:pPr>
        <w:pStyle w:val="Corpsdetexte"/>
        <w:rPr>
          <w:sz w:val="28"/>
        </w:rPr>
      </w:pPr>
    </w:p>
    <w:p w:rsidR="00D3254C" w:rsidRDefault="00D3254C">
      <w:pPr>
        <w:pStyle w:val="Corpsdetexte"/>
        <w:spacing w:before="7"/>
        <w:rPr>
          <w:sz w:val="25"/>
        </w:rPr>
      </w:pPr>
    </w:p>
    <w:p w:rsidR="00D3254C" w:rsidRDefault="005119CB" w:rsidP="005119CB">
      <w:pPr>
        <w:pStyle w:val="Titre"/>
      </w:pPr>
      <w:r>
        <w:rPr>
          <w:color w:val="5B9BD5"/>
        </w:rPr>
        <w:t>SESSÃO 4: ORGANIZAR UM PROCESSO PARTICIPATIVO</w:t>
      </w:r>
    </w:p>
    <w:p w:rsidR="00D3254C" w:rsidRDefault="005119CB">
      <w:pPr>
        <w:spacing w:before="304"/>
        <w:ind w:left="193"/>
        <w:rPr>
          <w:sz w:val="24"/>
        </w:rPr>
      </w:pPr>
      <w:r>
        <w:rPr>
          <w:color w:val="595959"/>
          <w:sz w:val="24"/>
        </w:rPr>
        <w:t>O QUE DIZ A CONVENÇÃO DE KAMPALA SOBRE A PARTICIPAÇÃO DAS PDI?</w:t>
      </w:r>
    </w:p>
    <w:p w:rsidR="00D3254C" w:rsidRDefault="00D3254C">
      <w:pPr>
        <w:pStyle w:val="Corpsdetexte"/>
        <w:rPr>
          <w:sz w:val="28"/>
        </w:rPr>
      </w:pPr>
    </w:p>
    <w:p w:rsidR="00D3254C" w:rsidRDefault="00D3254C">
      <w:pPr>
        <w:pStyle w:val="Corpsdetexte"/>
        <w:rPr>
          <w:sz w:val="28"/>
        </w:rPr>
      </w:pPr>
    </w:p>
    <w:p w:rsidR="00D3254C" w:rsidRDefault="00D3254C">
      <w:pPr>
        <w:pStyle w:val="Corpsdetexte"/>
        <w:spacing w:before="6"/>
        <w:rPr>
          <w:sz w:val="26"/>
        </w:rPr>
      </w:pPr>
    </w:p>
    <w:p w:rsidR="00D3254C" w:rsidRDefault="005119CB">
      <w:pPr>
        <w:pStyle w:val="Corpsdetexte"/>
        <w:spacing w:line="288" w:lineRule="auto"/>
        <w:ind w:left="193" w:right="190"/>
      </w:pPr>
      <w:r>
        <w:t xml:space="preserve">O seguinte é um excerto da Convenção de Kampala, passado um ano: Progresso e perspetivas, publicado pelo IDMC e pela UA a 6 de dezembro de 2013, disponível em </w:t>
      </w:r>
      <w:hyperlink r:id="rId6">
        <w:r>
          <w:rPr>
            <w:color w:val="0563C1"/>
            <w:u w:val="single" w:color="0563C1"/>
          </w:rPr>
          <w:t>http://goo.gl/2Zl61W</w:t>
        </w:r>
      </w:hyperlink>
      <w:r>
        <w:t>.</w:t>
      </w:r>
    </w:p>
    <w:p w:rsidR="00D3254C" w:rsidRDefault="00D3254C">
      <w:pPr>
        <w:pStyle w:val="Corpsdetexte"/>
        <w:spacing w:before="5"/>
        <w:rPr>
          <w:sz w:val="13"/>
        </w:rPr>
      </w:pPr>
    </w:p>
    <w:p w:rsidR="00D3254C" w:rsidRDefault="005119CB">
      <w:pPr>
        <w:tabs>
          <w:tab w:val="left" w:pos="9351"/>
        </w:tabs>
        <w:spacing w:before="106"/>
        <w:ind w:left="107"/>
        <w:rPr>
          <w:b/>
          <w:sz w:val="21"/>
        </w:rPr>
      </w:pPr>
      <w:r>
        <w:rPr>
          <w:rFonts w:ascii="Times New Roman"/>
          <w:color w:val="FFFFFF"/>
          <w:sz w:val="21"/>
          <w:shd w:val="clear" w:color="auto" w:fill="5B9BD5"/>
        </w:rPr>
        <w:t xml:space="preserve">  </w:t>
      </w:r>
      <w:r>
        <w:rPr>
          <w:b/>
          <w:color w:val="FFFFFF"/>
          <w:sz w:val="21"/>
          <w:shd w:val="clear" w:color="auto" w:fill="5B9BD5"/>
        </w:rPr>
        <w:t>PARTICIPAÇÃO E PROTEÇÃO</w:t>
      </w:r>
      <w:r>
        <w:rPr>
          <w:b/>
          <w:color w:val="FFFFFF"/>
          <w:sz w:val="21"/>
          <w:shd w:val="clear" w:color="auto" w:fill="5B9BD5"/>
        </w:rPr>
        <w:tab/>
      </w:r>
    </w:p>
    <w:p w:rsidR="00D3254C" w:rsidRDefault="00B963A8">
      <w:pPr>
        <w:pStyle w:val="Corpsdetexte"/>
        <w:spacing w:before="8"/>
        <w:rPr>
          <w:b/>
          <w:sz w:val="21"/>
        </w:rPr>
      </w:pPr>
      <w:r>
        <w:pict>
          <v:group id="_x0000_s1029" style="position:absolute;margin-left:66.35pt;margin-top:15.2pt;width:462.25pt;height:36.75pt;z-index:-15728640;mso-wrap-distance-left:0;mso-wrap-distance-right:0;mso-position-horizontal-relative:page" coordorigin="1327,304" coordsize="9245,735">
            <v:shape id="_x0000_s1031" style="position:absolute;left:1327;top:303;width:9245;height:735" coordorigin="1327,304" coordsize="9245,735" path="m10572,304r-58,l1385,304r-58,l1327,361r,307l1327,980r,58l1385,1038r9129,l10572,1038r,-58l10572,668r,-307l10572,304xe" fillcolor="#deeaf6" stroked="f">
              <v:path arrowok="t"/>
            </v:shape>
            <v:shapetype id="_x0000_t202" coordsize="21600,21600" o:spt="202" path="m,l,21600r21600,l21600,xe">
              <v:stroke joinstyle="miter"/>
              <v:path gradientshapeok="t" o:connecttype="rect"/>
            </v:shapetype>
            <v:shape id="_x0000_s1030" type="#_x0000_t202" style="position:absolute;left:1327;top:303;width:9245;height:735" filled="f" stroked="f">
              <v:textbox inset="0,0,0,0">
                <w:txbxContent>
                  <w:p w:rsidR="00D3254C" w:rsidRDefault="005119CB">
                    <w:pPr>
                      <w:spacing w:before="69" w:line="288" w:lineRule="auto"/>
                      <w:ind w:left="86"/>
                      <w:rPr>
                        <w:sz w:val="21"/>
                      </w:rPr>
                    </w:pPr>
                    <w:r>
                      <w:rPr>
                        <w:sz w:val="21"/>
                      </w:rPr>
                      <w:t>QUEM MELHOR DO QUE AS PDI PARA CONHECEREM OS SEUS PROBLEMAS E A FORMA DE RESOLVÊ-LOS?</w:t>
                    </w:r>
                  </w:p>
                </w:txbxContent>
              </v:textbox>
            </v:shape>
            <w10:wrap type="topAndBottom" anchorx="page"/>
          </v:group>
        </w:pict>
      </w:r>
    </w:p>
    <w:p w:rsidR="00D3254C" w:rsidRDefault="00D3254C">
      <w:pPr>
        <w:pStyle w:val="Corpsdetexte"/>
        <w:spacing w:before="11"/>
        <w:rPr>
          <w:b/>
          <w:sz w:val="5"/>
        </w:rPr>
      </w:pPr>
    </w:p>
    <w:p w:rsidR="00D3254C" w:rsidRDefault="005119CB">
      <w:pPr>
        <w:pStyle w:val="Corpsdetexte"/>
        <w:spacing w:before="107" w:line="290" w:lineRule="auto"/>
        <w:ind w:left="193" w:right="237"/>
      </w:pPr>
      <w:r>
        <w:t>As organizações da sociedade civil (OSC), as comunidades de acolhimento e as próprias PDI podem e devem desempenhar um papel na resposta às necessidades das PDI e promover a obtenção de soluções duradouras para a sua deslocação. Essa participação é essencial para garantir que as leis, políticas, avaliações e respostas humanitárias refletem os seus problemas específicos, necessidades, mecanismos de defesa e ativos. Reforçar a participação e assegurar um papel de destaque para a comunidade também ajuda a reconstruir a autoconfiança e autoestima e, como tal, constitui um passo para a confiança, resiliência e soluções duradouras. A Convenção de Kampala, enriquecida pela experiência dos estados africanos na proteção das PDI, reconhece o papel essencial que a sociedade civil tem de desempenhar e compromete os estados partes a consultar e cooperar com a mesma, para assegurar uma proteção e assistência eficaz, abrangente e baseada na comunidade durante todas as fases da deslocação.</w:t>
      </w:r>
    </w:p>
    <w:p w:rsidR="00D3254C" w:rsidRDefault="00D3254C">
      <w:pPr>
        <w:pStyle w:val="Corpsdetexte"/>
        <w:spacing w:before="3"/>
        <w:rPr>
          <w:sz w:val="13"/>
        </w:rPr>
      </w:pPr>
    </w:p>
    <w:p w:rsidR="00D3254C" w:rsidRDefault="005119CB">
      <w:pPr>
        <w:pStyle w:val="Titre1"/>
        <w:tabs>
          <w:tab w:val="left" w:pos="9351"/>
        </w:tabs>
      </w:pPr>
      <w:r>
        <w:rPr>
          <w:rFonts w:ascii="Times New Roman"/>
          <w:shd w:val="clear" w:color="auto" w:fill="DEEAF6"/>
        </w:rPr>
        <w:t xml:space="preserve">  </w:t>
      </w:r>
      <w:r>
        <w:rPr>
          <w:shd w:val="clear" w:color="auto" w:fill="DEEAF6"/>
        </w:rPr>
        <w:t>O QUE DIZ A CONVENÇÃO DE KAMPALA SOBRE O PROBLEMA?</w:t>
      </w:r>
      <w:r>
        <w:rPr>
          <w:shd w:val="clear" w:color="auto" w:fill="DEEAF6"/>
        </w:rPr>
        <w:tab/>
      </w:r>
    </w:p>
    <w:p w:rsidR="00D3254C" w:rsidRDefault="00D3254C">
      <w:pPr>
        <w:pStyle w:val="Corpsdetexte"/>
        <w:spacing w:before="3"/>
        <w:rPr>
          <w:sz w:val="16"/>
        </w:rPr>
      </w:pPr>
    </w:p>
    <w:p w:rsidR="00D3254C" w:rsidRDefault="005119CB">
      <w:pPr>
        <w:pStyle w:val="Corpsdetexte"/>
        <w:spacing w:before="107" w:line="290" w:lineRule="auto"/>
        <w:ind w:left="193" w:right="190"/>
      </w:pPr>
      <w:r>
        <w:t>“Os estados partes devem consultar as pessoas deslocadas internamente e permitir-lhes participar nas decisões associadas à sua proteção e assistência”.</w:t>
      </w:r>
      <w:r>
        <w:rPr>
          <w:vertAlign w:val="superscript"/>
        </w:rPr>
        <w:t>25</w:t>
      </w:r>
      <w:r>
        <w:t xml:space="preserve"> Em conformidade com a abordagem baseada nos direitos humanos dos Princípios Orientadores, a Convenção de Kampala define os direitos e garantias relevantes para a proteção das PDI, incluindo o direito de participar de participar em decisões que afetam as suas vidas. O dever dos estados e agências humanitárias de assegurar que tal se verifica, implica o estabelecimento de mecanismos de consulta e participação com base numa abordagem baseada na comunidade ou “ascendente”, tendo por vista garantir que as PDI desempenham um papel ativo na sua própria proteção, ao invés de serem meros beneficiários passivos.</w:t>
      </w:r>
    </w:p>
    <w:p w:rsidR="00D3254C" w:rsidRDefault="00D3254C">
      <w:pPr>
        <w:pStyle w:val="Corpsdetexte"/>
        <w:rPr>
          <w:sz w:val="20"/>
        </w:rPr>
      </w:pPr>
    </w:p>
    <w:p w:rsidR="00D3254C" w:rsidRDefault="00D3254C">
      <w:pPr>
        <w:pStyle w:val="Corpsdetexte"/>
        <w:rPr>
          <w:sz w:val="20"/>
        </w:rPr>
      </w:pPr>
    </w:p>
    <w:p w:rsidR="00D3254C" w:rsidRDefault="00B963A8">
      <w:pPr>
        <w:pStyle w:val="Corpsdetexte"/>
        <w:spacing w:before="5"/>
      </w:pPr>
      <w:r>
        <w:pict>
          <v:rect id="_x0000_s1028" style="position:absolute;margin-left:70.7pt;margin-top:13.85pt;width:2in;height:.7pt;z-index:-15728128;mso-wrap-distance-left:0;mso-wrap-distance-right:0;mso-position-horizontal-relative:page" fillcolor="black" stroked="f">
            <w10:wrap type="topAndBottom" anchorx="page"/>
          </v:rect>
        </w:pict>
      </w:r>
    </w:p>
    <w:p w:rsidR="00D3254C" w:rsidRDefault="00D3254C">
      <w:pPr>
        <w:sectPr w:rsidR="00D3254C">
          <w:headerReference w:type="default" r:id="rId7"/>
          <w:footerReference w:type="default" r:id="rId8"/>
          <w:type w:val="continuous"/>
          <w:pgSz w:w="11900" w:h="16820"/>
          <w:pgMar w:top="1780" w:right="1220" w:bottom="1640" w:left="1220" w:header="706" w:footer="1458" w:gutter="0"/>
          <w:cols w:space="708"/>
        </w:sectPr>
      </w:pPr>
    </w:p>
    <w:p w:rsidR="00D3254C" w:rsidRDefault="00D3254C">
      <w:pPr>
        <w:pStyle w:val="Corpsdetexte"/>
        <w:spacing w:before="10"/>
        <w:rPr>
          <w:sz w:val="11"/>
        </w:rPr>
      </w:pPr>
    </w:p>
    <w:p w:rsidR="00D3254C" w:rsidRDefault="005119CB">
      <w:pPr>
        <w:pStyle w:val="Corpsdetexte"/>
        <w:spacing w:before="107" w:line="290" w:lineRule="auto"/>
        <w:ind w:left="193" w:right="202"/>
      </w:pPr>
      <w:r>
        <w:t>Isto implica o envolvimento significativo e sistemático das comunidades afetadas pela deslocação no desenvolvimento de programas de apoio, da análise à avaliação,</w:t>
      </w:r>
      <w:r>
        <w:rPr>
          <w:vertAlign w:val="superscript"/>
        </w:rPr>
        <w:t>26</w:t>
      </w:r>
      <w:r>
        <w:t xml:space="preserve"> e ao longo do processo de deslocação, incluindo “a sua participação na obtenção de soluções sustentáveis”.</w:t>
      </w:r>
      <w:r>
        <w:rPr>
          <w:vertAlign w:val="superscript"/>
        </w:rPr>
        <w:t>27</w:t>
      </w:r>
      <w:r>
        <w:t xml:space="preserve"> A Convenção reitera a necessidade de avaliar os problemas de proteção específicos e as vulnerabilidades das PDI e das comunidades de acolhimento,</w:t>
      </w:r>
      <w:r>
        <w:rPr>
          <w:vertAlign w:val="superscript"/>
        </w:rPr>
        <w:t>28</w:t>
      </w:r>
      <w:r>
        <w:t xml:space="preserve"> dando especial ênfase às “pessoas deslocadas internamente com necessidades especiais, incluindo crianças separadas e não acompanhadas, mulheres chefes de família, grávidas, mães com filhos pequenos, idosos e portadores de incapacidade ou com doenças transmissíveis”.</w:t>
      </w:r>
      <w:r>
        <w:rPr>
          <w:vertAlign w:val="superscript"/>
        </w:rPr>
        <w:t>29</w:t>
      </w:r>
      <w:r>
        <w:t xml:space="preserve"> Também determina que os estados e os seus parceiros humanitários devem “tomar medidas especiais para proteger e cuidar da saúde reprodutiva e sexual das mulheres deslocadas internamente, bem como assegurar o apoio psicossocial adequado a vítimas de abusos sexuais ou outros.” Isto aplica-se a todas as PDI, quer vivam em campos, quer não, com base no direito de escolher a sua residência e nos princípios gerais de igualdade e não discriminação.</w:t>
      </w:r>
    </w:p>
    <w:p w:rsidR="00D3254C" w:rsidRDefault="005119CB">
      <w:pPr>
        <w:pStyle w:val="Corpsdetexte"/>
        <w:spacing w:before="200" w:line="290" w:lineRule="auto"/>
        <w:ind w:left="193" w:right="190"/>
      </w:pPr>
      <w:r>
        <w:t>Essas avaliações constituem a base da resposta de proteção. Devem ser realizadas de forma participativa, assegurando que os representantes de todos os membros das comunidades deslocadas e comunidades de acolhimento são consultados e têm a oportunidade de expressar os seus problemas e preocupações, propondo soluções para os mesmos. Através da aplicação sistemática de uma abordagem com base na idade, género e diversidade, as agências humanitárias e as próprias comunidades afetadas procuram assegurar que todas as pessoas podem exercer os seus direitos em termos de igualdade e participar plenamente nas decisões que afetam as suas vidas. Os resultados das avaliações participativas ajudarão todos os envolvidos a priorizar e conceber os programas de resposta. Essa abordagem implica o estabelecimento da compreensão e confiança com as comunidades em causa, bem como um investimento significativo em atividades de capacitação. As PDI “invisíveis” em centros urbanos, as crianças, os idosos e os portadores de incapacidade, incluindo os que têm oportunidades ou capacidades limitadas de se expressar, por exemplo, os surdos, devem ter uma oportunidade de participar.</w:t>
      </w:r>
    </w:p>
    <w:p w:rsidR="00D3254C" w:rsidRDefault="00D3254C">
      <w:pPr>
        <w:pStyle w:val="Corpsdetexte"/>
        <w:spacing w:before="6"/>
        <w:rPr>
          <w:sz w:val="13"/>
        </w:rPr>
      </w:pPr>
    </w:p>
    <w:p w:rsidR="00D3254C" w:rsidRDefault="005119CB">
      <w:pPr>
        <w:pStyle w:val="Titre1"/>
        <w:tabs>
          <w:tab w:val="left" w:pos="9351"/>
        </w:tabs>
      </w:pPr>
      <w:r>
        <w:rPr>
          <w:rFonts w:ascii="Times New Roman"/>
          <w:shd w:val="clear" w:color="auto" w:fill="DEEAF6"/>
        </w:rPr>
        <w:t xml:space="preserve">  </w:t>
      </w:r>
      <w:r>
        <w:rPr>
          <w:shd w:val="clear" w:color="auto" w:fill="DEEAF6"/>
        </w:rPr>
        <w:t>COMUNIDADES DE ACOLHIMENTO</w:t>
      </w:r>
      <w:r>
        <w:rPr>
          <w:shd w:val="clear" w:color="auto" w:fill="DEEAF6"/>
        </w:rPr>
        <w:tab/>
      </w:r>
    </w:p>
    <w:p w:rsidR="00D3254C" w:rsidRDefault="00D3254C">
      <w:pPr>
        <w:pStyle w:val="Corpsdetexte"/>
        <w:spacing w:before="3"/>
        <w:rPr>
          <w:sz w:val="16"/>
        </w:rPr>
      </w:pPr>
    </w:p>
    <w:p w:rsidR="00D3254C" w:rsidRDefault="005119CB">
      <w:pPr>
        <w:pStyle w:val="Corpsdetexte"/>
        <w:spacing w:before="107" w:line="290" w:lineRule="auto"/>
        <w:ind w:left="193" w:right="244"/>
      </w:pPr>
      <w:r>
        <w:t>Pelo menos metade dos 58 países monitorizados pelo IDMC em 2012 tinham poucos, ou nenhuns, campos para as PDI. As providências alternativas, tais como viver com uma família de acolhimento ou num alojamento privado numa comunidade de acolhimento, são uma norma para a grande maioria de PDIs urbanas e rurais, tanto em África, como no resto do mundo. Mesmo quando existem campos, a maioria das PDI prefere procurar refúgio em comunidades de acolhimento, onde preveem melhores oportunidades de subsistência, especialmente nos centros urbanos, ou têm familiares prontos a acolhê-los. Muitas PDI também se sentem mais seguras a viver com comunidades de acolhimento do que em campos.</w:t>
      </w:r>
      <w:r>
        <w:rPr>
          <w:vertAlign w:val="superscript"/>
        </w:rPr>
        <w:t>30</w:t>
      </w:r>
    </w:p>
    <w:p w:rsidR="00D3254C" w:rsidRDefault="005119CB">
      <w:pPr>
        <w:pStyle w:val="Corpsdetexte"/>
        <w:spacing w:before="203" w:line="290" w:lineRule="auto"/>
        <w:ind w:left="193" w:right="190"/>
      </w:pPr>
      <w:r>
        <w:t>As comunidades de acolhimento são geralmente menos visíveis, menos acessíveis e tendem a ser negligenciadas pelas agências humanitárias, mas muitas vezes têm apenas recursos limitados e mecanismos de defesa para si próprias e ficam muito sobrecarregadas com a chegada das PDI. Acolher PDIs pode rapidamente agravar a pobreza e causar frustrações, ressentimento, discriminação e exploração. Avaliar e responder às necessidades das comunidades de acolhimento de forma atempada e desenvolver programas que as têm em consideração, é essencial para a prevenção da maior parte dos problemas de proteção e conflitos.</w:t>
      </w:r>
    </w:p>
    <w:p w:rsidR="00D3254C" w:rsidRDefault="00B963A8">
      <w:pPr>
        <w:pStyle w:val="Corpsdetexte"/>
        <w:spacing w:before="12"/>
        <w:rPr>
          <w:sz w:val="12"/>
        </w:rPr>
      </w:pPr>
      <w:r>
        <w:pict>
          <v:rect id="_x0000_s1027" style="position:absolute;margin-left:70.7pt;margin-top:9.9pt;width:2in;height:.7pt;z-index:-15727616;mso-wrap-distance-left:0;mso-wrap-distance-right:0;mso-position-horizontal-relative:page" fillcolor="black" stroked="f">
            <w10:wrap type="topAndBottom" anchorx="page"/>
          </v:rect>
        </w:pict>
      </w:r>
    </w:p>
    <w:p w:rsidR="00D3254C" w:rsidRDefault="00D3254C">
      <w:pPr>
        <w:pStyle w:val="Corpsdetexte"/>
        <w:spacing w:before="11"/>
        <w:rPr>
          <w:sz w:val="9"/>
        </w:rPr>
      </w:pPr>
    </w:p>
    <w:p w:rsidR="00D3254C" w:rsidRDefault="005119CB">
      <w:pPr>
        <w:spacing w:before="144"/>
        <w:ind w:left="193"/>
        <w:rPr>
          <w:sz w:val="17"/>
        </w:rPr>
      </w:pPr>
      <w:r>
        <w:rPr>
          <w:sz w:val="17"/>
          <w:vertAlign w:val="superscript"/>
        </w:rPr>
        <w:t>26</w:t>
      </w:r>
      <w:r>
        <w:rPr>
          <w:sz w:val="17"/>
        </w:rPr>
        <w:t xml:space="preserve"> Estudo sobre a Política de Proteção, Compreender a Proteção com Base na Comunidade, ACNUR, DIP, 20 de junho de 2013.</w:t>
      </w:r>
    </w:p>
    <w:p w:rsidR="00D3254C" w:rsidRDefault="005119CB">
      <w:pPr>
        <w:spacing w:before="215"/>
        <w:ind w:left="193"/>
        <w:rPr>
          <w:sz w:val="17"/>
        </w:rPr>
      </w:pPr>
      <w:r>
        <w:rPr>
          <w:sz w:val="17"/>
          <w:vertAlign w:val="superscript"/>
        </w:rPr>
        <w:t>27</w:t>
      </w:r>
      <w:r>
        <w:rPr>
          <w:sz w:val="17"/>
        </w:rPr>
        <w:t xml:space="preserve"> Convenção de Kampala, artigo 11(2).</w:t>
      </w:r>
    </w:p>
    <w:p w:rsidR="00D3254C" w:rsidRDefault="005119CB">
      <w:pPr>
        <w:spacing w:before="210"/>
        <w:ind w:left="193"/>
        <w:rPr>
          <w:sz w:val="17"/>
        </w:rPr>
      </w:pPr>
      <w:r>
        <w:rPr>
          <w:sz w:val="17"/>
          <w:vertAlign w:val="superscript"/>
        </w:rPr>
        <w:t>28</w:t>
      </w:r>
      <w:r>
        <w:rPr>
          <w:sz w:val="17"/>
        </w:rPr>
        <w:t xml:space="preserve"> Convenção de Kampala, artigo 5(5).</w:t>
      </w:r>
    </w:p>
    <w:p w:rsidR="00D3254C" w:rsidRDefault="005119CB">
      <w:pPr>
        <w:spacing w:before="215"/>
        <w:ind w:left="193"/>
        <w:rPr>
          <w:sz w:val="17"/>
        </w:rPr>
      </w:pPr>
      <w:r>
        <w:rPr>
          <w:sz w:val="17"/>
          <w:vertAlign w:val="superscript"/>
        </w:rPr>
        <w:t>29</w:t>
      </w:r>
      <w:r>
        <w:rPr>
          <w:sz w:val="17"/>
        </w:rPr>
        <w:t xml:space="preserve"> Convenção de Kampala, artigo 9(2).</w:t>
      </w:r>
    </w:p>
    <w:p w:rsidR="00D3254C" w:rsidRDefault="00D3254C">
      <w:pPr>
        <w:rPr>
          <w:sz w:val="17"/>
        </w:rPr>
        <w:sectPr w:rsidR="00D3254C">
          <w:headerReference w:type="default" r:id="rId9"/>
          <w:footerReference w:type="default" r:id="rId10"/>
          <w:pgSz w:w="11900" w:h="16820"/>
          <w:pgMar w:top="1780" w:right="1220" w:bottom="1640" w:left="1220" w:header="706" w:footer="1458" w:gutter="0"/>
          <w:cols w:space="708"/>
        </w:sectPr>
      </w:pPr>
    </w:p>
    <w:p w:rsidR="00D3254C" w:rsidRDefault="00D3254C">
      <w:pPr>
        <w:pStyle w:val="Corpsdetexte"/>
        <w:spacing w:before="10"/>
        <w:rPr>
          <w:sz w:val="11"/>
        </w:rPr>
      </w:pPr>
    </w:p>
    <w:p w:rsidR="00D3254C" w:rsidRDefault="005119CB">
      <w:pPr>
        <w:pStyle w:val="Corpsdetexte"/>
        <w:spacing w:before="107" w:line="290" w:lineRule="auto"/>
        <w:ind w:left="193" w:right="244"/>
      </w:pPr>
      <w:r>
        <w:t>A Convenção de Kampala capta esta realidade e obriga os estados partes a tomar “medidas conforme apropriado, incluindo estratégias e políticas sobre deslocações internas, a nível local e nacional, tendo em consideração as necessidades das comunidades de acolhimento”.</w:t>
      </w:r>
      <w:r>
        <w:rPr>
          <w:vertAlign w:val="superscript"/>
        </w:rPr>
        <w:t>31</w:t>
      </w:r>
      <w:r>
        <w:t>Também insta as comunidades de acolhimento a serem incluídas nas análises da proteção e das necessidades, para avaliar o impacto da deslocação nas mesmas e conceber abordagens e programas que envolvam tanto os setores humanitários, como de desenvolvimento, antes que caiam na pobreza ou privação extremas. A Convenção reconhece a necessidade de apoiar as comunidades que contribuem para a proteção das PDI e de incentivá-las a continuar. Recomenda-se uma metodologia participativa, utilizando uma abordagem com base na idade, género e diversidade para compreender e incorporar a dinâmica diferente e muitas vezes complexa entre as PDI e as comunidades de acolhimento, e os seus problemas de proteção específicos, na conceção de uma resposta devidamente orientada.</w:t>
      </w:r>
    </w:p>
    <w:p w:rsidR="00D3254C" w:rsidRDefault="00D3254C">
      <w:pPr>
        <w:pStyle w:val="Corpsdetexte"/>
        <w:spacing w:before="3"/>
        <w:rPr>
          <w:sz w:val="13"/>
        </w:rPr>
      </w:pPr>
    </w:p>
    <w:p w:rsidR="00D3254C" w:rsidRDefault="005119CB">
      <w:pPr>
        <w:pStyle w:val="Titre1"/>
        <w:tabs>
          <w:tab w:val="left" w:pos="9351"/>
        </w:tabs>
      </w:pPr>
      <w:r>
        <w:rPr>
          <w:rFonts w:ascii="Times New Roman"/>
          <w:shd w:val="clear" w:color="auto" w:fill="DEEAF6"/>
        </w:rPr>
        <w:t xml:space="preserve">  </w:t>
      </w:r>
      <w:r>
        <w:rPr>
          <w:shd w:val="clear" w:color="auto" w:fill="DEEAF6"/>
        </w:rPr>
        <w:t>ORGANIZAÇÕES DA SOCIEDADE CIVIL</w:t>
      </w:r>
      <w:r>
        <w:rPr>
          <w:shd w:val="clear" w:color="auto" w:fill="DEEAF6"/>
        </w:rPr>
        <w:tab/>
      </w:r>
    </w:p>
    <w:p w:rsidR="00D3254C" w:rsidRDefault="00D3254C">
      <w:pPr>
        <w:pStyle w:val="Corpsdetexte"/>
        <w:spacing w:before="8"/>
        <w:rPr>
          <w:sz w:val="16"/>
        </w:rPr>
      </w:pPr>
    </w:p>
    <w:p w:rsidR="00D3254C" w:rsidRDefault="005119CB">
      <w:pPr>
        <w:pStyle w:val="Corpsdetexte"/>
        <w:spacing w:before="106" w:line="290" w:lineRule="auto"/>
        <w:ind w:left="193" w:right="244"/>
      </w:pPr>
      <w:r>
        <w:t>Dado o seu nível de interação com as PDI, as OSC são muitas vezes as melhores posicionadas para identificar os principais obstáculos que enfrentam as populações deslocadas no exercício dos seus direitos e cumprimento das suas obrigações e, como tal, têm um papel significativo a desempenhar para assegurar que os estados tomam as medidas necessárias para implementar a Convenção de Kampala.</w:t>
      </w:r>
      <w:r>
        <w:rPr>
          <w:vertAlign w:val="superscript"/>
        </w:rPr>
        <w:t>32</w:t>
      </w:r>
      <w:r>
        <w:t xml:space="preserve"> A experiência africana nas deslocações internas tornou os seus legisladores cientes da importância de uma colaboração próxima com as OSC, incluindo as que representam as PDI, e a Convenção requer que os estados e as organizações humanitárias trabalhem lado a lado com as OSC e as vejam como parceiras ao longo do processo de deslocação.</w:t>
      </w:r>
      <w:r>
        <w:rPr>
          <w:vertAlign w:val="superscript"/>
        </w:rPr>
        <w:t>33</w:t>
      </w:r>
    </w:p>
    <w:p w:rsidR="00D3254C" w:rsidRDefault="005119CB">
      <w:pPr>
        <w:pStyle w:val="Corpsdetexte"/>
        <w:spacing w:before="201" w:line="290" w:lineRule="auto"/>
        <w:ind w:left="193" w:right="190"/>
      </w:pPr>
      <w:r>
        <w:t>As OSC, que muitas vezes estão em contacto próximo com as PDI e as comunidades de acolhimento, têm uma boa compreensão da deslocação e do contexto local, sendo parceiras valiosas na implementação de uma abordagem participativa. As OSC também desempenham um papel de defesa, promovendo a ratificação e implementação da convenção. A sua inclusão, juntamente com representantes das comunidades deslocadas no processo de implementação, sobretudo no desenvolvimento de leis e políticas nacionais abrangentes sobre as deslocações internas, é essencial para garantir tanto uma adesão real da sociedade civil, como a colaboração a longo prazo para a proteção e assistência às PDI. Também assegura que as especificidades das situações de deslocação interna local são captadas e incorporadas em quaisquer novas políticas e legislação.</w:t>
      </w:r>
    </w:p>
    <w:p w:rsidR="00D3254C" w:rsidRDefault="00D3254C">
      <w:pPr>
        <w:pStyle w:val="Corpsdetexte"/>
        <w:spacing w:before="1"/>
        <w:rPr>
          <w:sz w:val="13"/>
        </w:rPr>
      </w:pPr>
    </w:p>
    <w:p w:rsidR="00D3254C" w:rsidRDefault="005119CB">
      <w:pPr>
        <w:pStyle w:val="Titre1"/>
        <w:tabs>
          <w:tab w:val="left" w:pos="9351"/>
        </w:tabs>
        <w:spacing w:before="105"/>
      </w:pPr>
      <w:r>
        <w:rPr>
          <w:rFonts w:ascii="Times New Roman"/>
          <w:shd w:val="clear" w:color="auto" w:fill="DEEAF6"/>
        </w:rPr>
        <w:t xml:space="preserve">  </w:t>
      </w:r>
      <w:r>
        <w:rPr>
          <w:shd w:val="clear" w:color="auto" w:fill="DEEAF6"/>
        </w:rPr>
        <w:t>OPORTUNIDADES</w:t>
      </w:r>
      <w:r>
        <w:rPr>
          <w:shd w:val="clear" w:color="auto" w:fill="DEEAF6"/>
        </w:rPr>
        <w:tab/>
      </w:r>
    </w:p>
    <w:p w:rsidR="00D3254C" w:rsidRDefault="00D3254C">
      <w:pPr>
        <w:pStyle w:val="Corpsdetexte"/>
        <w:spacing w:before="8"/>
        <w:rPr>
          <w:sz w:val="16"/>
        </w:rPr>
      </w:pPr>
    </w:p>
    <w:p w:rsidR="00D3254C" w:rsidRDefault="005119CB">
      <w:pPr>
        <w:pStyle w:val="Corpsdetexte"/>
        <w:spacing w:before="107" w:line="290" w:lineRule="auto"/>
        <w:ind w:left="193" w:right="190"/>
      </w:pPr>
      <w:r>
        <w:t>Uma das inovações da Convenção de Kampala reside no seu enfoque sistemático no papel da sociedade civil, incluindo as próprias PDI e as comunidades de acolhimento, na resposta às deslocações. Incentiva os estados e as organizações internacionais a reconhecer a necessidade de tirar partido das capacidades de todas as componentes das comunidades afetadas, capacitá-las e ajudar a reforçar a sua resiliência para que sejam capazes de participar plenamente na defesa e exercício dos seus direitos.</w:t>
      </w:r>
    </w:p>
    <w:p w:rsidR="00D3254C" w:rsidRDefault="00D3254C">
      <w:pPr>
        <w:pStyle w:val="Corpsdetexte"/>
        <w:rPr>
          <w:sz w:val="20"/>
        </w:rPr>
      </w:pPr>
      <w:bookmarkStart w:id="0" w:name="_GoBack"/>
      <w:bookmarkEnd w:id="0"/>
    </w:p>
    <w:p w:rsidR="00D3254C" w:rsidRDefault="00D3254C">
      <w:pPr>
        <w:pStyle w:val="Corpsdetexte"/>
        <w:rPr>
          <w:sz w:val="20"/>
        </w:rPr>
      </w:pPr>
    </w:p>
    <w:p w:rsidR="00D3254C" w:rsidRDefault="00D3254C">
      <w:pPr>
        <w:pStyle w:val="Corpsdetexte"/>
        <w:rPr>
          <w:sz w:val="20"/>
        </w:rPr>
      </w:pPr>
    </w:p>
    <w:p w:rsidR="00D3254C" w:rsidRDefault="00D3254C">
      <w:pPr>
        <w:pStyle w:val="Corpsdetexte"/>
        <w:rPr>
          <w:sz w:val="20"/>
        </w:rPr>
      </w:pPr>
    </w:p>
    <w:p w:rsidR="00D3254C" w:rsidRDefault="00D3254C">
      <w:pPr>
        <w:pStyle w:val="Corpsdetexte"/>
        <w:rPr>
          <w:sz w:val="20"/>
        </w:rPr>
      </w:pPr>
    </w:p>
    <w:p w:rsidR="00D3254C" w:rsidRDefault="00B963A8">
      <w:pPr>
        <w:pStyle w:val="Corpsdetexte"/>
        <w:rPr>
          <w:sz w:val="24"/>
        </w:rPr>
      </w:pPr>
      <w:r>
        <w:pict>
          <v:rect id="_x0000_s1026" style="position:absolute;margin-left:70.7pt;margin-top:16.6pt;width:2in;height:.7pt;z-index:-15727104;mso-wrap-distance-left:0;mso-wrap-distance-right:0;mso-position-horizontal-relative:page" fillcolor="black" stroked="f">
            <w10:wrap type="topAndBottom" anchorx="page"/>
          </v:rect>
        </w:pict>
      </w:r>
    </w:p>
    <w:p w:rsidR="00D3254C" w:rsidRDefault="00D3254C">
      <w:pPr>
        <w:pStyle w:val="Corpsdetexte"/>
        <w:spacing w:before="4"/>
        <w:rPr>
          <w:sz w:val="10"/>
        </w:rPr>
      </w:pPr>
    </w:p>
    <w:p w:rsidR="00D3254C" w:rsidRDefault="005119CB">
      <w:pPr>
        <w:spacing w:before="144"/>
        <w:ind w:left="193"/>
        <w:rPr>
          <w:sz w:val="17"/>
        </w:rPr>
      </w:pPr>
      <w:r>
        <w:rPr>
          <w:sz w:val="17"/>
          <w:vertAlign w:val="superscript"/>
        </w:rPr>
        <w:t>31</w:t>
      </w:r>
      <w:r>
        <w:rPr>
          <w:sz w:val="17"/>
        </w:rPr>
        <w:t xml:space="preserve"> Convenção de Kampala, artigos 3(2)C e 5(5).</w:t>
      </w:r>
    </w:p>
    <w:p w:rsidR="00D3254C" w:rsidRDefault="005119CB">
      <w:pPr>
        <w:spacing w:before="210" w:line="249" w:lineRule="auto"/>
        <w:ind w:left="193"/>
        <w:rPr>
          <w:sz w:val="17"/>
        </w:rPr>
      </w:pPr>
      <w:r>
        <w:rPr>
          <w:sz w:val="17"/>
          <w:vertAlign w:val="superscript"/>
        </w:rPr>
        <w:t>32</w:t>
      </w:r>
      <w:r>
        <w:rPr>
          <w:sz w:val="17"/>
        </w:rPr>
        <w:t xml:space="preserve"> Fazer a Convenção de Kampala funcionar para as PDI, um guia para a sociedade civil sobre o apoio à ratificação e implementação, IDMC/UA, julho de 2010.</w:t>
      </w:r>
    </w:p>
    <w:sectPr w:rsidR="00D3254C">
      <w:headerReference w:type="default" r:id="rId11"/>
      <w:footerReference w:type="default" r:id="rId12"/>
      <w:pgSz w:w="11900" w:h="16820"/>
      <w:pgMar w:top="1780" w:right="1220" w:bottom="1640" w:left="1220" w:header="706" w:footer="145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5CB2" w:rsidRDefault="005119CB">
      <w:r>
        <w:separator/>
      </w:r>
    </w:p>
  </w:endnote>
  <w:endnote w:type="continuationSeparator" w:id="0">
    <w:p w:rsidR="00D75CB2" w:rsidRDefault="00511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54C" w:rsidRDefault="00B963A8">
    <w:pPr>
      <w:pStyle w:val="Corpsdetexte"/>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69.7pt;margin-top:757.1pt;width:130.6pt;height:14.7pt;z-index:-15806464;mso-position-horizontal-relative:page;mso-position-vertical-relative:page" filled="f" stroked="f">
          <v:textbox inset="0,0,0,0">
            <w:txbxContent>
              <w:p w:rsidR="00D3254C" w:rsidRDefault="005119CB">
                <w:pPr>
                  <w:spacing w:before="63"/>
                  <w:ind w:left="20"/>
                  <w:rPr>
                    <w:sz w:val="17"/>
                  </w:rPr>
                </w:pPr>
                <w:r>
                  <w:rPr>
                    <w:sz w:val="17"/>
                    <w:vertAlign w:val="superscript"/>
                  </w:rPr>
                  <w:t>25</w:t>
                </w:r>
                <w:r>
                  <w:rPr>
                    <w:sz w:val="17"/>
                  </w:rPr>
                  <w:t xml:space="preserve"> Convenção de Kampala, artigo 9(2).</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54C" w:rsidRDefault="00B963A8">
    <w:pPr>
      <w:pStyle w:val="Corpsdetexte"/>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69.7pt;margin-top:757.1pt;width:428.2pt;height:14.7pt;z-index:-15803392;mso-position-horizontal-relative:page;mso-position-vertical-relative:page" filled="f" stroked="f">
          <v:textbox inset="0,0,0,0">
            <w:txbxContent>
              <w:p w:rsidR="00D3254C" w:rsidRDefault="005119CB">
                <w:pPr>
                  <w:spacing w:before="63"/>
                  <w:ind w:left="20"/>
                  <w:rPr>
                    <w:sz w:val="17"/>
                  </w:rPr>
                </w:pPr>
                <w:r>
                  <w:rPr>
                    <w:sz w:val="17"/>
                    <w:vertAlign w:val="superscript"/>
                  </w:rPr>
                  <w:t>30</w:t>
                </w:r>
                <w:r>
                  <w:rPr>
                    <w:sz w:val="17"/>
                  </w:rPr>
                  <w:t xml:space="preserve"> </w:t>
                </w:r>
                <w:r>
                  <w:rPr>
                    <w:sz w:val="17"/>
                  </w:rPr>
                  <w:t>PDIs em Famílias de Acolhimento e Comunidades de Acolhimento: Assistência para Acordos de Acolhimento, Anne Davis, ACNUR, abril de 2012.</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54C" w:rsidRDefault="00B963A8">
    <w:pPr>
      <w:pStyle w:val="Corpsdetexte"/>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69.7pt;margin-top:757.1pt;width:304.25pt;height:14.7pt;z-index:-15800320;mso-position-horizontal-relative:page;mso-position-vertical-relative:page" filled="f" stroked="f">
          <v:textbox inset="0,0,0,0">
            <w:txbxContent>
              <w:p w:rsidR="00D3254C" w:rsidRDefault="005119CB">
                <w:pPr>
                  <w:spacing w:before="63"/>
                  <w:ind w:left="20"/>
                  <w:rPr>
                    <w:sz w:val="17"/>
                  </w:rPr>
                </w:pPr>
                <w:r>
                  <w:rPr>
                    <w:sz w:val="17"/>
                    <w:vertAlign w:val="superscript"/>
                  </w:rPr>
                  <w:t>33</w:t>
                </w:r>
                <w:r>
                  <w:rPr>
                    <w:sz w:val="17"/>
                  </w:rPr>
                  <w:t xml:space="preserve"> </w:t>
                </w:r>
                <w:r>
                  <w:rPr>
                    <w:sz w:val="17"/>
                  </w:rPr>
                  <w:t>Convenção de Kampala, artigos 2e, 3 (2) b, 4 (3), 5 (6), 8 (3), 9 (3), 11 (3) e 13 (1).</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5CB2" w:rsidRDefault="005119CB">
      <w:r>
        <w:separator/>
      </w:r>
    </w:p>
  </w:footnote>
  <w:footnote w:type="continuationSeparator" w:id="0">
    <w:p w:rsidR="00D75CB2" w:rsidRDefault="00511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54C" w:rsidRDefault="005119CB">
    <w:pPr>
      <w:pStyle w:val="Corpsdetexte"/>
      <w:spacing w:line="14" w:lineRule="auto"/>
      <w:rPr>
        <w:sz w:val="20"/>
      </w:rPr>
    </w:pPr>
    <w:r>
      <w:rPr>
        <w:noProof/>
      </w:rPr>
      <w:drawing>
        <wp:anchor distT="0" distB="0" distL="0" distR="0" simplePos="0" relativeHeight="487507456" behindDoc="1" locked="0" layoutInCell="1" allowOverlap="1">
          <wp:simplePos x="0" y="0"/>
          <wp:positionH relativeFrom="page">
            <wp:posOffset>2316223</wp:posOffset>
          </wp:positionH>
          <wp:positionV relativeFrom="page">
            <wp:posOffset>448055</wp:posOffset>
          </wp:positionV>
          <wp:extent cx="660400" cy="684276"/>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60400" cy="684276"/>
                  </a:xfrm>
                  <a:prstGeom prst="rect">
                    <a:avLst/>
                  </a:prstGeom>
                </pic:spPr>
              </pic:pic>
            </a:graphicData>
          </a:graphic>
        </wp:anchor>
      </w:drawing>
    </w:r>
    <w:r>
      <w:rPr>
        <w:noProof/>
      </w:rPr>
      <w:drawing>
        <wp:anchor distT="0" distB="0" distL="0" distR="0" simplePos="0" relativeHeight="487507968" behindDoc="1" locked="0" layoutInCell="1" allowOverlap="1">
          <wp:simplePos x="0" y="0"/>
          <wp:positionH relativeFrom="page">
            <wp:posOffset>5867144</wp:posOffset>
          </wp:positionH>
          <wp:positionV relativeFrom="page">
            <wp:posOffset>460754</wp:posOffset>
          </wp:positionV>
          <wp:extent cx="685800" cy="66040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685800" cy="660400"/>
                  </a:xfrm>
                  <a:prstGeom prst="rect">
                    <a:avLst/>
                  </a:prstGeom>
                </pic:spPr>
              </pic:pic>
            </a:graphicData>
          </a:graphic>
        </wp:anchor>
      </w:drawing>
    </w:r>
    <w:r>
      <w:rPr>
        <w:noProof/>
      </w:rPr>
      <w:drawing>
        <wp:anchor distT="0" distB="0" distL="0" distR="0" simplePos="0" relativeHeight="487508480" behindDoc="1" locked="0" layoutInCell="1" allowOverlap="1">
          <wp:simplePos x="0" y="0"/>
          <wp:positionH relativeFrom="page">
            <wp:posOffset>898272</wp:posOffset>
          </wp:positionH>
          <wp:positionV relativeFrom="page">
            <wp:posOffset>463929</wp:posOffset>
          </wp:positionV>
          <wp:extent cx="1154544" cy="657225"/>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3" cstate="print"/>
                  <a:stretch>
                    <a:fillRect/>
                  </a:stretch>
                </pic:blipFill>
                <pic:spPr>
                  <a:xfrm>
                    <a:off x="0" y="0"/>
                    <a:ext cx="1154544" cy="657225"/>
                  </a:xfrm>
                  <a:prstGeom prst="rect">
                    <a:avLst/>
                  </a:prstGeom>
                </pic:spPr>
              </pic:pic>
            </a:graphicData>
          </a:graphic>
        </wp:anchor>
      </w:drawing>
    </w:r>
    <w:r>
      <w:rPr>
        <w:noProof/>
      </w:rPr>
      <w:drawing>
        <wp:anchor distT="0" distB="0" distL="0" distR="0" simplePos="0" relativeHeight="487508992" behindDoc="1" locked="0" layoutInCell="1" allowOverlap="1">
          <wp:simplePos x="0" y="0"/>
          <wp:positionH relativeFrom="page">
            <wp:posOffset>4506339</wp:posOffset>
          </wp:positionH>
          <wp:positionV relativeFrom="page">
            <wp:posOffset>651254</wp:posOffset>
          </wp:positionV>
          <wp:extent cx="1104900" cy="279400"/>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4" cstate="print"/>
                  <a:stretch>
                    <a:fillRect/>
                  </a:stretch>
                </pic:blipFill>
                <pic:spPr>
                  <a:xfrm>
                    <a:off x="0" y="0"/>
                    <a:ext cx="1104900" cy="279400"/>
                  </a:xfrm>
                  <a:prstGeom prst="rect">
                    <a:avLst/>
                  </a:prstGeom>
                </pic:spPr>
              </pic:pic>
            </a:graphicData>
          </a:graphic>
        </wp:anchor>
      </w:drawing>
    </w:r>
    <w:r>
      <w:rPr>
        <w:noProof/>
      </w:rPr>
      <w:drawing>
        <wp:anchor distT="0" distB="0" distL="0" distR="0" simplePos="0" relativeHeight="487509504" behindDoc="1" locked="0" layoutInCell="1" allowOverlap="1">
          <wp:simplePos x="0" y="0"/>
          <wp:positionH relativeFrom="page">
            <wp:posOffset>3227666</wp:posOffset>
          </wp:positionH>
          <wp:positionV relativeFrom="page">
            <wp:posOffset>675095</wp:posOffset>
          </wp:positionV>
          <wp:extent cx="1140027" cy="242859"/>
          <wp:effectExtent l="0" t="0" r="0" b="0"/>
          <wp:wrapNone/>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5" cstate="print"/>
                  <a:stretch>
                    <a:fillRect/>
                  </a:stretch>
                </pic:blipFill>
                <pic:spPr>
                  <a:xfrm>
                    <a:off x="0" y="0"/>
                    <a:ext cx="1140027" cy="242859"/>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54C" w:rsidRDefault="005119CB">
    <w:pPr>
      <w:pStyle w:val="Corpsdetexte"/>
      <w:spacing w:line="14" w:lineRule="auto"/>
      <w:rPr>
        <w:sz w:val="20"/>
      </w:rPr>
    </w:pPr>
    <w:r>
      <w:rPr>
        <w:noProof/>
      </w:rPr>
      <w:drawing>
        <wp:anchor distT="0" distB="0" distL="0" distR="0" simplePos="0" relativeHeight="487510528" behindDoc="1" locked="0" layoutInCell="1" allowOverlap="1">
          <wp:simplePos x="0" y="0"/>
          <wp:positionH relativeFrom="page">
            <wp:posOffset>2316223</wp:posOffset>
          </wp:positionH>
          <wp:positionV relativeFrom="page">
            <wp:posOffset>448055</wp:posOffset>
          </wp:positionV>
          <wp:extent cx="660400" cy="684276"/>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jpeg"/>
                  <pic:cNvPicPr/>
                </pic:nvPicPr>
                <pic:blipFill>
                  <a:blip r:embed="rId1" cstate="print"/>
                  <a:stretch>
                    <a:fillRect/>
                  </a:stretch>
                </pic:blipFill>
                <pic:spPr>
                  <a:xfrm>
                    <a:off x="0" y="0"/>
                    <a:ext cx="660400" cy="684276"/>
                  </a:xfrm>
                  <a:prstGeom prst="rect">
                    <a:avLst/>
                  </a:prstGeom>
                </pic:spPr>
              </pic:pic>
            </a:graphicData>
          </a:graphic>
        </wp:anchor>
      </w:drawing>
    </w:r>
    <w:r>
      <w:rPr>
        <w:noProof/>
      </w:rPr>
      <w:drawing>
        <wp:anchor distT="0" distB="0" distL="0" distR="0" simplePos="0" relativeHeight="487511040" behindDoc="1" locked="0" layoutInCell="1" allowOverlap="1">
          <wp:simplePos x="0" y="0"/>
          <wp:positionH relativeFrom="page">
            <wp:posOffset>5867144</wp:posOffset>
          </wp:positionH>
          <wp:positionV relativeFrom="page">
            <wp:posOffset>460754</wp:posOffset>
          </wp:positionV>
          <wp:extent cx="685800" cy="660400"/>
          <wp:effectExtent l="0" t="0" r="0" b="0"/>
          <wp:wrapNone/>
          <wp:docPr id="1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png"/>
                  <pic:cNvPicPr/>
                </pic:nvPicPr>
                <pic:blipFill>
                  <a:blip r:embed="rId2" cstate="print"/>
                  <a:stretch>
                    <a:fillRect/>
                  </a:stretch>
                </pic:blipFill>
                <pic:spPr>
                  <a:xfrm>
                    <a:off x="0" y="0"/>
                    <a:ext cx="685800" cy="660400"/>
                  </a:xfrm>
                  <a:prstGeom prst="rect">
                    <a:avLst/>
                  </a:prstGeom>
                </pic:spPr>
              </pic:pic>
            </a:graphicData>
          </a:graphic>
        </wp:anchor>
      </w:drawing>
    </w:r>
    <w:r>
      <w:rPr>
        <w:noProof/>
      </w:rPr>
      <w:drawing>
        <wp:anchor distT="0" distB="0" distL="0" distR="0" simplePos="0" relativeHeight="487511552" behindDoc="1" locked="0" layoutInCell="1" allowOverlap="1">
          <wp:simplePos x="0" y="0"/>
          <wp:positionH relativeFrom="page">
            <wp:posOffset>898272</wp:posOffset>
          </wp:positionH>
          <wp:positionV relativeFrom="page">
            <wp:posOffset>463929</wp:posOffset>
          </wp:positionV>
          <wp:extent cx="1154544" cy="657225"/>
          <wp:effectExtent l="0" t="0" r="0" b="0"/>
          <wp:wrapNone/>
          <wp:docPr id="1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png"/>
                  <pic:cNvPicPr/>
                </pic:nvPicPr>
                <pic:blipFill>
                  <a:blip r:embed="rId3" cstate="print"/>
                  <a:stretch>
                    <a:fillRect/>
                  </a:stretch>
                </pic:blipFill>
                <pic:spPr>
                  <a:xfrm>
                    <a:off x="0" y="0"/>
                    <a:ext cx="1154544" cy="657225"/>
                  </a:xfrm>
                  <a:prstGeom prst="rect">
                    <a:avLst/>
                  </a:prstGeom>
                </pic:spPr>
              </pic:pic>
            </a:graphicData>
          </a:graphic>
        </wp:anchor>
      </w:drawing>
    </w:r>
    <w:r>
      <w:rPr>
        <w:noProof/>
      </w:rPr>
      <w:drawing>
        <wp:anchor distT="0" distB="0" distL="0" distR="0" simplePos="0" relativeHeight="487512064" behindDoc="1" locked="0" layoutInCell="1" allowOverlap="1">
          <wp:simplePos x="0" y="0"/>
          <wp:positionH relativeFrom="page">
            <wp:posOffset>4506339</wp:posOffset>
          </wp:positionH>
          <wp:positionV relativeFrom="page">
            <wp:posOffset>651254</wp:posOffset>
          </wp:positionV>
          <wp:extent cx="1104900" cy="279400"/>
          <wp:effectExtent l="0" t="0" r="0" b="0"/>
          <wp:wrapNone/>
          <wp:docPr id="1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4.jpeg"/>
                  <pic:cNvPicPr/>
                </pic:nvPicPr>
                <pic:blipFill>
                  <a:blip r:embed="rId4" cstate="print"/>
                  <a:stretch>
                    <a:fillRect/>
                  </a:stretch>
                </pic:blipFill>
                <pic:spPr>
                  <a:xfrm>
                    <a:off x="0" y="0"/>
                    <a:ext cx="1104900" cy="279400"/>
                  </a:xfrm>
                  <a:prstGeom prst="rect">
                    <a:avLst/>
                  </a:prstGeom>
                </pic:spPr>
              </pic:pic>
            </a:graphicData>
          </a:graphic>
        </wp:anchor>
      </w:drawing>
    </w:r>
    <w:r>
      <w:rPr>
        <w:noProof/>
      </w:rPr>
      <w:drawing>
        <wp:anchor distT="0" distB="0" distL="0" distR="0" simplePos="0" relativeHeight="487512576" behindDoc="1" locked="0" layoutInCell="1" allowOverlap="1">
          <wp:simplePos x="0" y="0"/>
          <wp:positionH relativeFrom="page">
            <wp:posOffset>3227666</wp:posOffset>
          </wp:positionH>
          <wp:positionV relativeFrom="page">
            <wp:posOffset>675095</wp:posOffset>
          </wp:positionV>
          <wp:extent cx="1140027" cy="242859"/>
          <wp:effectExtent l="0" t="0" r="0" b="0"/>
          <wp:wrapNone/>
          <wp:docPr id="1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5.png"/>
                  <pic:cNvPicPr/>
                </pic:nvPicPr>
                <pic:blipFill>
                  <a:blip r:embed="rId5" cstate="print"/>
                  <a:stretch>
                    <a:fillRect/>
                  </a:stretch>
                </pic:blipFill>
                <pic:spPr>
                  <a:xfrm>
                    <a:off x="0" y="0"/>
                    <a:ext cx="1140027" cy="242859"/>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54C" w:rsidRDefault="005119CB">
    <w:pPr>
      <w:pStyle w:val="Corpsdetexte"/>
      <w:spacing w:line="14" w:lineRule="auto"/>
      <w:rPr>
        <w:sz w:val="20"/>
      </w:rPr>
    </w:pPr>
    <w:r>
      <w:rPr>
        <w:noProof/>
      </w:rPr>
      <w:drawing>
        <wp:anchor distT="0" distB="0" distL="0" distR="0" simplePos="0" relativeHeight="487513600" behindDoc="1" locked="0" layoutInCell="1" allowOverlap="1">
          <wp:simplePos x="0" y="0"/>
          <wp:positionH relativeFrom="page">
            <wp:posOffset>2316223</wp:posOffset>
          </wp:positionH>
          <wp:positionV relativeFrom="page">
            <wp:posOffset>448055</wp:posOffset>
          </wp:positionV>
          <wp:extent cx="660400" cy="684276"/>
          <wp:effectExtent l="0" t="0" r="0" b="0"/>
          <wp:wrapNone/>
          <wp:docPr id="2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jpeg"/>
                  <pic:cNvPicPr/>
                </pic:nvPicPr>
                <pic:blipFill>
                  <a:blip r:embed="rId1" cstate="print"/>
                  <a:stretch>
                    <a:fillRect/>
                  </a:stretch>
                </pic:blipFill>
                <pic:spPr>
                  <a:xfrm>
                    <a:off x="0" y="0"/>
                    <a:ext cx="660400" cy="684276"/>
                  </a:xfrm>
                  <a:prstGeom prst="rect">
                    <a:avLst/>
                  </a:prstGeom>
                </pic:spPr>
              </pic:pic>
            </a:graphicData>
          </a:graphic>
        </wp:anchor>
      </w:drawing>
    </w:r>
    <w:r>
      <w:rPr>
        <w:noProof/>
      </w:rPr>
      <w:drawing>
        <wp:anchor distT="0" distB="0" distL="0" distR="0" simplePos="0" relativeHeight="487514112" behindDoc="1" locked="0" layoutInCell="1" allowOverlap="1">
          <wp:simplePos x="0" y="0"/>
          <wp:positionH relativeFrom="page">
            <wp:posOffset>5867144</wp:posOffset>
          </wp:positionH>
          <wp:positionV relativeFrom="page">
            <wp:posOffset>460754</wp:posOffset>
          </wp:positionV>
          <wp:extent cx="685800" cy="660400"/>
          <wp:effectExtent l="0" t="0" r="0" b="0"/>
          <wp:wrapNone/>
          <wp:docPr id="2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2.png"/>
                  <pic:cNvPicPr/>
                </pic:nvPicPr>
                <pic:blipFill>
                  <a:blip r:embed="rId2" cstate="print"/>
                  <a:stretch>
                    <a:fillRect/>
                  </a:stretch>
                </pic:blipFill>
                <pic:spPr>
                  <a:xfrm>
                    <a:off x="0" y="0"/>
                    <a:ext cx="685800" cy="660400"/>
                  </a:xfrm>
                  <a:prstGeom prst="rect">
                    <a:avLst/>
                  </a:prstGeom>
                </pic:spPr>
              </pic:pic>
            </a:graphicData>
          </a:graphic>
        </wp:anchor>
      </w:drawing>
    </w:r>
    <w:r>
      <w:rPr>
        <w:noProof/>
      </w:rPr>
      <w:drawing>
        <wp:anchor distT="0" distB="0" distL="0" distR="0" simplePos="0" relativeHeight="487514624" behindDoc="1" locked="0" layoutInCell="1" allowOverlap="1">
          <wp:simplePos x="0" y="0"/>
          <wp:positionH relativeFrom="page">
            <wp:posOffset>898272</wp:posOffset>
          </wp:positionH>
          <wp:positionV relativeFrom="page">
            <wp:posOffset>463929</wp:posOffset>
          </wp:positionV>
          <wp:extent cx="1154544" cy="657225"/>
          <wp:effectExtent l="0" t="0" r="0" b="0"/>
          <wp:wrapNone/>
          <wp:docPr id="2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3.png"/>
                  <pic:cNvPicPr/>
                </pic:nvPicPr>
                <pic:blipFill>
                  <a:blip r:embed="rId3" cstate="print"/>
                  <a:stretch>
                    <a:fillRect/>
                  </a:stretch>
                </pic:blipFill>
                <pic:spPr>
                  <a:xfrm>
                    <a:off x="0" y="0"/>
                    <a:ext cx="1154544" cy="657225"/>
                  </a:xfrm>
                  <a:prstGeom prst="rect">
                    <a:avLst/>
                  </a:prstGeom>
                </pic:spPr>
              </pic:pic>
            </a:graphicData>
          </a:graphic>
        </wp:anchor>
      </w:drawing>
    </w:r>
    <w:r>
      <w:rPr>
        <w:noProof/>
      </w:rPr>
      <w:drawing>
        <wp:anchor distT="0" distB="0" distL="0" distR="0" simplePos="0" relativeHeight="487515136" behindDoc="1" locked="0" layoutInCell="1" allowOverlap="1">
          <wp:simplePos x="0" y="0"/>
          <wp:positionH relativeFrom="page">
            <wp:posOffset>4506339</wp:posOffset>
          </wp:positionH>
          <wp:positionV relativeFrom="page">
            <wp:posOffset>651254</wp:posOffset>
          </wp:positionV>
          <wp:extent cx="1104900" cy="279400"/>
          <wp:effectExtent l="0" t="0" r="0" b="0"/>
          <wp:wrapNone/>
          <wp:docPr id="2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4.jpeg"/>
                  <pic:cNvPicPr/>
                </pic:nvPicPr>
                <pic:blipFill>
                  <a:blip r:embed="rId4" cstate="print"/>
                  <a:stretch>
                    <a:fillRect/>
                  </a:stretch>
                </pic:blipFill>
                <pic:spPr>
                  <a:xfrm>
                    <a:off x="0" y="0"/>
                    <a:ext cx="1104900" cy="279400"/>
                  </a:xfrm>
                  <a:prstGeom prst="rect">
                    <a:avLst/>
                  </a:prstGeom>
                </pic:spPr>
              </pic:pic>
            </a:graphicData>
          </a:graphic>
        </wp:anchor>
      </w:drawing>
    </w:r>
    <w:r>
      <w:rPr>
        <w:noProof/>
      </w:rPr>
      <w:drawing>
        <wp:anchor distT="0" distB="0" distL="0" distR="0" simplePos="0" relativeHeight="487515648" behindDoc="1" locked="0" layoutInCell="1" allowOverlap="1">
          <wp:simplePos x="0" y="0"/>
          <wp:positionH relativeFrom="page">
            <wp:posOffset>3227666</wp:posOffset>
          </wp:positionH>
          <wp:positionV relativeFrom="page">
            <wp:posOffset>675095</wp:posOffset>
          </wp:positionV>
          <wp:extent cx="1140027" cy="242859"/>
          <wp:effectExtent l="0" t="0" r="0" b="0"/>
          <wp:wrapNone/>
          <wp:docPr id="2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5.png"/>
                  <pic:cNvPicPr/>
                </pic:nvPicPr>
                <pic:blipFill>
                  <a:blip r:embed="rId5" cstate="print"/>
                  <a:stretch>
                    <a:fillRect/>
                  </a:stretch>
                </pic:blipFill>
                <pic:spPr>
                  <a:xfrm>
                    <a:off x="0" y="0"/>
                    <a:ext cx="1140027" cy="242859"/>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hyphenationZone w:val="425"/>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D3254C"/>
    <w:rsid w:val="005119CB"/>
    <w:rsid w:val="00847BEE"/>
    <w:rsid w:val="00B963A8"/>
    <w:rsid w:val="00D3254C"/>
    <w:rsid w:val="00D75CB2"/>
  </w:rsids>
  <m:mathPr>
    <m:mathFont m:val="Cambria Math"/>
    <m:brkBin m:val="before"/>
    <m:brkBinSub m:val="--"/>
    <m:smallFrac m:val="0"/>
    <m:dispDef/>
    <m:lMargin m:val="0"/>
    <m:rMargin m:val="0"/>
    <m:defJc m:val="centerGroup"/>
    <m:wrapIndent m:val="1440"/>
    <m:intLim m:val="subSup"/>
    <m:naryLim m:val="undOvr"/>
  </m:mathPr>
  <w:themeFontLang w:val="nl-BE"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47F8EF13-B1F5-447F-A56D-ED9910045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Titre1">
    <w:name w:val="heading 1"/>
    <w:basedOn w:val="Normal"/>
    <w:uiPriority w:val="9"/>
    <w:qFormat/>
    <w:pPr>
      <w:spacing w:before="106"/>
      <w:ind w:left="107"/>
      <w:outlineLvl w:val="0"/>
    </w:pPr>
    <w:rPr>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19"/>
      <w:szCs w:val="19"/>
    </w:rPr>
  </w:style>
  <w:style w:type="paragraph" w:styleId="Titre">
    <w:name w:val="Title"/>
    <w:basedOn w:val="Normal"/>
    <w:uiPriority w:val="10"/>
    <w:qFormat/>
    <w:pPr>
      <w:ind w:left="193"/>
    </w:pPr>
    <w:rPr>
      <w:sz w:val="52"/>
      <w:szCs w:val="52"/>
    </w:rPr>
  </w:style>
  <w:style w:type="paragraph" w:styleId="Paragraphedeliste">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oo.gl/2Zl61W."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1455</Words>
  <Characters>8006</Characters>
  <Application>Microsoft Office Word</Application>
  <DocSecurity>0</DocSecurity>
  <Lines>66</Lines>
  <Paragraphs>18</Paragraphs>
  <ScaleCrop>false</ScaleCrop>
  <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Vincent</cp:lastModifiedBy>
  <cp:revision>2</cp:revision>
  <dcterms:created xsi:type="dcterms:W3CDTF">2021-01-20T14:01:00Z</dcterms:created>
  <dcterms:modified xsi:type="dcterms:W3CDTF">2021-01-20T14:01:00Z</dcterms:modified>
</cp:coreProperties>
</file>